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1AE" w:rsidRPr="00E361AE" w:rsidRDefault="00E361AE" w:rsidP="00381D95">
      <w:pPr>
        <w:shd w:val="clear" w:color="auto" w:fill="FFFFFF"/>
        <w:spacing w:before="150" w:after="150" w:line="600" w:lineRule="atLeast"/>
        <w:jc w:val="center"/>
        <w:outlineLvl w:val="0"/>
        <w:rPr>
          <w:rFonts w:ascii="inherit" w:eastAsia="Times New Roman" w:hAnsi="inherit" w:cs="Helvetica"/>
          <w:b/>
          <w:bCs/>
          <w:color w:val="333333"/>
          <w:kern w:val="36"/>
          <w:sz w:val="58"/>
          <w:szCs w:val="58"/>
          <w:lang w:eastAsia="tr-TR"/>
        </w:rPr>
      </w:pPr>
      <w:r w:rsidRPr="00E361AE">
        <w:rPr>
          <w:rFonts w:ascii="inherit" w:eastAsia="Times New Roman" w:hAnsi="inherit" w:cs="Helvetica"/>
          <w:b/>
          <w:bCs/>
          <w:color w:val="333333"/>
          <w:kern w:val="36"/>
          <w:sz w:val="58"/>
          <w:szCs w:val="58"/>
          <w:lang w:eastAsia="tr-TR"/>
        </w:rPr>
        <w:t>Taahhüt Listesinin Okunmasına Yönelik Teknik Bilgiler</w:t>
      </w:r>
    </w:p>
    <w:p w:rsidR="00E361AE" w:rsidRPr="00E361AE" w:rsidRDefault="00E361AE" w:rsidP="00381D95">
      <w:pPr>
        <w:shd w:val="clear" w:color="auto" w:fill="FFFFFF"/>
        <w:spacing w:after="150" w:line="300" w:lineRule="atLeast"/>
        <w:jc w:val="both"/>
        <w:rPr>
          <w:rFonts w:ascii="Helvetica" w:eastAsia="Times New Roman" w:hAnsi="Helvetica" w:cs="Helvetica"/>
          <w:color w:val="333333"/>
          <w:sz w:val="21"/>
          <w:szCs w:val="21"/>
          <w:lang w:eastAsia="tr-TR"/>
        </w:rPr>
      </w:pPr>
      <w:r w:rsidRPr="00E361AE">
        <w:rPr>
          <w:rFonts w:ascii="Trebuchet MS" w:eastAsia="Times New Roman" w:hAnsi="Trebuchet MS" w:cs="Helvetica"/>
          <w:b/>
          <w:bCs/>
          <w:color w:val="800000"/>
          <w:sz w:val="20"/>
          <w:szCs w:val="20"/>
          <w:lang w:eastAsia="tr-TR"/>
        </w:rPr>
        <w:t>Taahhütler nasıl listelenir? </w:t>
      </w:r>
      <w:r w:rsidR="00381D95" w:rsidRPr="00E361AE">
        <w:rPr>
          <w:rFonts w:ascii="Helvetica" w:eastAsia="Times New Roman" w:hAnsi="Helvetica" w:cs="Helvetica"/>
          <w:color w:val="333333"/>
          <w:sz w:val="21"/>
          <w:szCs w:val="21"/>
          <w:lang w:eastAsia="tr-TR"/>
        </w:rPr>
        <w:t xml:space="preserve"> </w:t>
      </w:r>
    </w:p>
    <w:p w:rsidR="00E361AE" w:rsidRPr="00E361AE" w:rsidRDefault="00E361AE" w:rsidP="00381D95">
      <w:pPr>
        <w:shd w:val="clear" w:color="auto" w:fill="FFFFFF"/>
        <w:spacing w:after="150" w:line="300" w:lineRule="atLeast"/>
        <w:jc w:val="both"/>
        <w:rPr>
          <w:rFonts w:ascii="Helvetica" w:eastAsia="Times New Roman" w:hAnsi="Helvetica" w:cs="Helvetica"/>
          <w:color w:val="333333"/>
          <w:sz w:val="21"/>
          <w:szCs w:val="21"/>
          <w:lang w:eastAsia="tr-TR"/>
        </w:rPr>
      </w:pPr>
      <w:r w:rsidRPr="00E361AE">
        <w:rPr>
          <w:rFonts w:ascii="Trebuchet MS" w:eastAsia="Times New Roman" w:hAnsi="Trebuchet MS" w:cs="Helvetica"/>
          <w:color w:val="333333"/>
          <w:sz w:val="20"/>
          <w:szCs w:val="20"/>
          <w:lang w:eastAsia="tr-TR"/>
        </w:rPr>
        <w:t xml:space="preserve">Esasen, bir </w:t>
      </w:r>
      <w:proofErr w:type="spellStart"/>
      <w:r w:rsidRPr="00E361AE">
        <w:rPr>
          <w:rFonts w:ascii="Trebuchet MS" w:eastAsia="Times New Roman" w:hAnsi="Trebuchet MS" w:cs="Helvetica"/>
          <w:color w:val="333333"/>
          <w:sz w:val="20"/>
          <w:szCs w:val="20"/>
          <w:lang w:eastAsia="tr-TR"/>
        </w:rPr>
        <w:t>Üye’nin</w:t>
      </w:r>
      <w:proofErr w:type="spellEnd"/>
      <w:r w:rsidRPr="00E361AE">
        <w:rPr>
          <w:rFonts w:ascii="Trebuchet MS" w:eastAsia="Times New Roman" w:hAnsi="Trebuchet MS" w:cs="Helvetica"/>
          <w:color w:val="333333"/>
          <w:sz w:val="20"/>
          <w:szCs w:val="20"/>
          <w:lang w:eastAsia="tr-TR"/>
        </w:rPr>
        <w:t xml:space="preserve"> listesinde yasal olarak bağlayıcı bir taahhüt oluşturan girdiler, listelenen sektör, alt-sektör veya faaliyetler için her bir dört hizmet sunum biçiminde pazara erişim ve milli muamele üzerindeki kısıtlamaların varlığını veya yokluğunu gösterir. Aşağıdaki durumlarda girdiler </w:t>
      </w:r>
      <w:r w:rsidRPr="00E361AE">
        <w:rPr>
          <w:rFonts w:ascii="Trebuchet MS" w:eastAsia="Times New Roman" w:hAnsi="Trebuchet MS" w:cs="Helvetica"/>
          <w:b/>
          <w:bCs/>
          <w:color w:val="333333"/>
          <w:sz w:val="20"/>
          <w:szCs w:val="20"/>
          <w:lang w:eastAsia="tr-TR"/>
        </w:rPr>
        <w:t>aynı terminoloji</w:t>
      </w:r>
      <w:r w:rsidRPr="00E361AE">
        <w:rPr>
          <w:rFonts w:ascii="Trebuchet MS" w:eastAsia="Times New Roman" w:hAnsi="Trebuchet MS" w:cs="Helvetica"/>
          <w:color w:val="333333"/>
          <w:sz w:val="20"/>
          <w:szCs w:val="20"/>
          <w:lang w:eastAsia="tr-TR"/>
        </w:rPr>
        <w:t>yi kullanır:</w:t>
      </w:r>
    </w:p>
    <w:p w:rsidR="00E361AE" w:rsidRPr="00E361AE" w:rsidRDefault="00E361AE" w:rsidP="00381D95">
      <w:pPr>
        <w:shd w:val="clear" w:color="auto" w:fill="FFFFFF"/>
        <w:spacing w:after="150" w:line="300" w:lineRule="atLeast"/>
        <w:ind w:left="375"/>
        <w:jc w:val="both"/>
        <w:rPr>
          <w:rFonts w:ascii="Helvetica" w:eastAsia="Times New Roman" w:hAnsi="Helvetica" w:cs="Helvetica"/>
          <w:color w:val="333333"/>
          <w:sz w:val="21"/>
          <w:szCs w:val="21"/>
          <w:lang w:eastAsia="tr-TR"/>
        </w:rPr>
      </w:pPr>
      <w:bookmarkStart w:id="0" w:name="_GoBack"/>
      <w:bookmarkEnd w:id="0"/>
      <w:r w:rsidRPr="00E361AE">
        <w:rPr>
          <w:rFonts w:ascii="Trebuchet MS" w:eastAsia="Times New Roman" w:hAnsi="Trebuchet MS" w:cs="Helvetica"/>
          <w:color w:val="333333"/>
          <w:sz w:val="20"/>
          <w:szCs w:val="20"/>
          <w:lang w:eastAsia="tr-TR"/>
        </w:rPr>
        <w:t xml:space="preserve">Söz konusu sektör ve hizmet sunumunda pazara erişim veya milli </w:t>
      </w:r>
      <w:r w:rsidR="00381D95">
        <w:rPr>
          <w:rFonts w:ascii="Trebuchet MS" w:eastAsia="Times New Roman" w:hAnsi="Trebuchet MS" w:cs="Helvetica"/>
          <w:color w:val="333333"/>
          <w:sz w:val="20"/>
          <w:szCs w:val="20"/>
          <w:lang w:eastAsia="tr-TR"/>
        </w:rPr>
        <w:t xml:space="preserve">muamele üzerinde kısıtlamaların </w:t>
      </w:r>
      <w:r w:rsidRPr="00E361AE">
        <w:rPr>
          <w:rFonts w:ascii="Trebuchet MS" w:eastAsia="Times New Roman" w:hAnsi="Trebuchet MS" w:cs="Helvetica"/>
          <w:color w:val="333333"/>
          <w:sz w:val="20"/>
          <w:szCs w:val="20"/>
          <w:lang w:eastAsia="tr-TR"/>
        </w:rPr>
        <w:t xml:space="preserve">olmadığı durumlarda, girdi </w:t>
      </w:r>
      <w:r w:rsidRPr="00E361AE">
        <w:rPr>
          <w:rFonts w:ascii="Trebuchet MS" w:eastAsia="Times New Roman" w:hAnsi="Trebuchet MS" w:cs="Helvetica"/>
          <w:b/>
          <w:bCs/>
          <w:color w:val="333333"/>
          <w:sz w:val="20"/>
          <w:szCs w:val="20"/>
          <w:lang w:eastAsia="tr-TR"/>
        </w:rPr>
        <w:t>NONE</w:t>
      </w:r>
      <w:r w:rsidRPr="00E361AE">
        <w:rPr>
          <w:rFonts w:ascii="Trebuchet MS" w:eastAsia="Times New Roman" w:hAnsi="Trebuchet MS" w:cs="Helvetica"/>
          <w:color w:val="333333"/>
          <w:sz w:val="20"/>
          <w:szCs w:val="20"/>
          <w:lang w:eastAsia="tr-TR"/>
        </w:rPr>
        <w:t xml:space="preserve"> diye okunur. Ancak, NONE terimi ikinci veya listenin sektöre-özel kısmında kullanıldığında, </w:t>
      </w:r>
      <w:r w:rsidRPr="00E361AE">
        <w:rPr>
          <w:rFonts w:ascii="Trebuchet MS" w:eastAsia="Times New Roman" w:hAnsi="Trebuchet MS" w:cs="Helvetica"/>
          <w:b/>
          <w:bCs/>
          <w:color w:val="333333"/>
          <w:sz w:val="20"/>
          <w:szCs w:val="20"/>
          <w:lang w:eastAsia="tr-TR"/>
        </w:rPr>
        <w:t>bu sektöre özgü</w:t>
      </w:r>
      <w:r w:rsidRPr="00E361AE">
        <w:rPr>
          <w:rFonts w:ascii="Trebuchet MS" w:eastAsia="Times New Roman" w:hAnsi="Trebuchet MS" w:cs="Helvetica"/>
          <w:color w:val="333333"/>
          <w:sz w:val="20"/>
          <w:szCs w:val="20"/>
          <w:lang w:eastAsia="tr-TR"/>
        </w:rPr>
        <w:t xml:space="preserve"> kısıtlamaların olmadığına dikkat edilmelidir: Yukarıda görüldüğü gibi, listenin ilk kısmında konuya ilişkin yatay kısıtlamaların olabileceği akılda tutulmalıdır.</w:t>
      </w:r>
    </w:p>
    <w:p w:rsidR="00E361AE" w:rsidRPr="00E361AE" w:rsidRDefault="00E361AE" w:rsidP="00381D95">
      <w:pPr>
        <w:shd w:val="clear" w:color="auto" w:fill="FFFFFF"/>
        <w:spacing w:after="150" w:line="300" w:lineRule="atLeast"/>
        <w:ind w:left="375" w:hanging="360"/>
        <w:jc w:val="both"/>
        <w:rPr>
          <w:rFonts w:ascii="Helvetica" w:eastAsia="Times New Roman" w:hAnsi="Helvetica" w:cs="Helvetica"/>
          <w:color w:val="333333"/>
          <w:sz w:val="21"/>
          <w:szCs w:val="21"/>
          <w:lang w:eastAsia="tr-TR"/>
        </w:rPr>
      </w:pPr>
      <w:r w:rsidRPr="00E361AE">
        <w:rPr>
          <w:rFonts w:ascii="Trebuchet MS" w:eastAsia="Times New Roman" w:hAnsi="Trebuchet MS" w:cs="Helvetica"/>
          <w:color w:val="333333"/>
          <w:sz w:val="20"/>
          <w:szCs w:val="20"/>
          <w:lang w:eastAsia="tr-TR"/>
        </w:rPr>
        <w:t xml:space="preserve">Listedeki bütün taahhütler aksi belirtilmedikçe bağlayıcıdır. Bir Üyenin belli bir sektör ve hizmet sunum biçiminde pazara erişim veya milli muamele ile uyumsuz olan tedbirler alma veya sürdürme konusunda serbest kalmayı arzuladığı bir durumda, bu Üye, </w:t>
      </w:r>
      <w:r w:rsidRPr="00E361AE">
        <w:rPr>
          <w:rFonts w:ascii="Trebuchet MS" w:eastAsia="Times New Roman" w:hAnsi="Trebuchet MS" w:cs="Helvetica"/>
          <w:b/>
          <w:bCs/>
          <w:color w:val="333333"/>
          <w:sz w:val="20"/>
          <w:szCs w:val="20"/>
          <w:lang w:eastAsia="tr-TR"/>
        </w:rPr>
        <w:t>UNBOUND</w:t>
      </w:r>
      <w:r w:rsidRPr="00E361AE">
        <w:rPr>
          <w:rFonts w:ascii="Trebuchet MS" w:eastAsia="Times New Roman" w:hAnsi="Trebuchet MS" w:cs="Helvetica"/>
          <w:color w:val="333333"/>
          <w:sz w:val="20"/>
          <w:szCs w:val="20"/>
          <w:lang w:eastAsia="tr-TR"/>
        </w:rPr>
        <w:t xml:space="preserve"> terimine uygun alana girmiştir.</w:t>
      </w:r>
    </w:p>
    <w:p w:rsidR="00E361AE" w:rsidRPr="00E361AE" w:rsidRDefault="00E361AE" w:rsidP="00381D95">
      <w:pPr>
        <w:shd w:val="clear" w:color="auto" w:fill="FFFFFF"/>
        <w:spacing w:after="150" w:line="300" w:lineRule="atLeast"/>
        <w:ind w:left="375" w:hanging="360"/>
        <w:jc w:val="both"/>
        <w:rPr>
          <w:rFonts w:ascii="Helvetica" w:eastAsia="Times New Roman" w:hAnsi="Helvetica" w:cs="Helvetica"/>
          <w:color w:val="333333"/>
          <w:sz w:val="21"/>
          <w:szCs w:val="21"/>
          <w:lang w:eastAsia="tr-TR"/>
        </w:rPr>
      </w:pPr>
      <w:r w:rsidRPr="00E361AE">
        <w:rPr>
          <w:rFonts w:ascii="Trebuchet MS" w:eastAsia="Times New Roman" w:hAnsi="Trebuchet MS" w:cs="Helvetica"/>
          <w:color w:val="333333"/>
          <w:sz w:val="20"/>
          <w:szCs w:val="20"/>
          <w:lang w:eastAsia="tr-TR"/>
        </w:rPr>
        <w:t xml:space="preserve">Bazı durumlarda –köprü yapım hizmetlerinin sınır ötesi arzı gibi- belli bir arz biçimi teknik olarak mümkün veya uygulanabilir olmaz. </w:t>
      </w:r>
      <w:r w:rsidRPr="00E361AE">
        <w:rPr>
          <w:rFonts w:ascii="Trebuchet MS" w:eastAsia="Times New Roman" w:hAnsi="Trebuchet MS" w:cs="Helvetica"/>
          <w:b/>
          <w:bCs/>
          <w:color w:val="333333"/>
          <w:sz w:val="20"/>
          <w:szCs w:val="20"/>
          <w:lang w:eastAsia="tr-TR"/>
        </w:rPr>
        <w:t xml:space="preserve">UNBOUND* </w:t>
      </w:r>
      <w:r w:rsidRPr="00E361AE">
        <w:rPr>
          <w:rFonts w:ascii="Trebuchet MS" w:eastAsia="Times New Roman" w:hAnsi="Trebuchet MS" w:cs="Helvetica"/>
          <w:color w:val="333333"/>
          <w:sz w:val="20"/>
          <w:szCs w:val="20"/>
          <w:lang w:eastAsia="tr-TR"/>
        </w:rPr>
        <w:t>terimi ise böyle durumlarda, “</w:t>
      </w:r>
      <w:proofErr w:type="spellStart"/>
      <w:r w:rsidRPr="00E361AE">
        <w:rPr>
          <w:rFonts w:ascii="Trebuchet MS" w:eastAsia="Times New Roman" w:hAnsi="Trebuchet MS" w:cs="Helvetica"/>
          <w:color w:val="333333"/>
          <w:sz w:val="20"/>
          <w:szCs w:val="20"/>
          <w:lang w:eastAsia="tr-TR"/>
        </w:rPr>
        <w:t>Tekniken</w:t>
      </w:r>
      <w:proofErr w:type="spellEnd"/>
      <w:r w:rsidRPr="00E361AE">
        <w:rPr>
          <w:rFonts w:ascii="Trebuchet MS" w:eastAsia="Times New Roman" w:hAnsi="Trebuchet MS" w:cs="Helvetica"/>
          <w:color w:val="333333"/>
          <w:sz w:val="20"/>
          <w:szCs w:val="20"/>
          <w:lang w:eastAsia="tr-TR"/>
        </w:rPr>
        <w:t xml:space="preserve"> uygulanabilirlikten yoksun olduğu için bağsız (</w:t>
      </w:r>
      <w:proofErr w:type="spellStart"/>
      <w:r w:rsidRPr="00E361AE">
        <w:rPr>
          <w:rFonts w:ascii="Trebuchet MS" w:eastAsia="Times New Roman" w:hAnsi="Trebuchet MS" w:cs="Helvetica"/>
          <w:color w:val="333333"/>
          <w:sz w:val="20"/>
          <w:szCs w:val="20"/>
          <w:lang w:eastAsia="tr-TR"/>
        </w:rPr>
        <w:t>unbound</w:t>
      </w:r>
      <w:proofErr w:type="spellEnd"/>
      <w:r w:rsidRPr="00E361AE">
        <w:rPr>
          <w:rFonts w:ascii="Trebuchet MS" w:eastAsia="Times New Roman" w:hAnsi="Trebuchet MS" w:cs="Helvetica"/>
          <w:color w:val="333333"/>
          <w:sz w:val="20"/>
          <w:szCs w:val="20"/>
          <w:lang w:eastAsia="tr-TR"/>
        </w:rPr>
        <w:t>)” gibi çoğunlukla açıklayıcı bir dipnot ile bağlantılı olarak kullanılmaktadır.</w:t>
      </w:r>
    </w:p>
    <w:p w:rsidR="00E361AE" w:rsidRPr="00E361AE" w:rsidRDefault="00E361AE" w:rsidP="00381D95">
      <w:pPr>
        <w:shd w:val="clear" w:color="auto" w:fill="FFFFFF"/>
        <w:spacing w:after="150" w:line="300" w:lineRule="atLeast"/>
        <w:ind w:left="15"/>
        <w:jc w:val="both"/>
        <w:rPr>
          <w:rFonts w:ascii="Helvetica" w:eastAsia="Times New Roman" w:hAnsi="Helvetica" w:cs="Helvetica"/>
          <w:color w:val="333333"/>
          <w:sz w:val="21"/>
          <w:szCs w:val="21"/>
          <w:lang w:eastAsia="tr-TR"/>
        </w:rPr>
      </w:pPr>
      <w:r w:rsidRPr="00E361AE">
        <w:rPr>
          <w:rFonts w:ascii="Trebuchet MS" w:eastAsia="Times New Roman" w:hAnsi="Trebuchet MS" w:cs="Helvetica"/>
          <w:color w:val="333333"/>
          <w:sz w:val="20"/>
          <w:szCs w:val="20"/>
          <w:lang w:eastAsia="tr-TR"/>
        </w:rPr>
        <w:t xml:space="preserve">Birçok durumda bağlayıcı taahhütlerin pazara erişim veya milli muamele üzerinde kısıtlamalarını gösteren metne ait açıklamalar görülecektir. Uzunlukları oldukça değişken olan bu girdiler tek tip bir terminoloji kullanmazlar ancak </w:t>
      </w:r>
      <w:r w:rsidRPr="00E361AE">
        <w:rPr>
          <w:rFonts w:ascii="Trebuchet MS" w:eastAsia="Times New Roman" w:hAnsi="Trebuchet MS" w:cs="Helvetica"/>
          <w:b/>
          <w:bCs/>
          <w:color w:val="333333"/>
          <w:sz w:val="20"/>
          <w:szCs w:val="20"/>
          <w:lang w:eastAsia="tr-TR"/>
        </w:rPr>
        <w:t>iki temel yaklaşım</w:t>
      </w:r>
      <w:r w:rsidRPr="00E361AE">
        <w:rPr>
          <w:rFonts w:ascii="Trebuchet MS" w:eastAsia="Times New Roman" w:hAnsi="Trebuchet MS" w:cs="Helvetica"/>
          <w:color w:val="333333"/>
          <w:sz w:val="20"/>
          <w:szCs w:val="20"/>
          <w:lang w:eastAsia="tr-TR"/>
        </w:rPr>
        <w:t xml:space="preserve"> üzerine kurulmuşlardır:</w:t>
      </w:r>
    </w:p>
    <w:p w:rsidR="00E361AE" w:rsidRPr="00E361AE" w:rsidRDefault="00E361AE" w:rsidP="00381D95">
      <w:pPr>
        <w:shd w:val="clear" w:color="auto" w:fill="FFFFFF"/>
        <w:spacing w:after="150" w:line="300" w:lineRule="atLeast"/>
        <w:ind w:left="375" w:hanging="360"/>
        <w:jc w:val="both"/>
        <w:rPr>
          <w:rFonts w:ascii="Helvetica" w:eastAsia="Times New Roman" w:hAnsi="Helvetica" w:cs="Helvetica"/>
          <w:color w:val="333333"/>
          <w:sz w:val="21"/>
          <w:szCs w:val="21"/>
          <w:lang w:eastAsia="tr-TR"/>
        </w:rPr>
      </w:pPr>
      <w:r w:rsidRPr="00E361AE">
        <w:rPr>
          <w:rFonts w:ascii="Trebuchet MS" w:eastAsia="Times New Roman" w:hAnsi="Trebuchet MS" w:cs="Helvetica"/>
          <w:color w:val="333333"/>
          <w:sz w:val="20"/>
          <w:szCs w:val="20"/>
          <w:lang w:eastAsia="tr-TR"/>
        </w:rPr>
        <w:t>Girdi, uygun aralıkta, GATS Madde XVI ve XVII ile uyumsuz olan unsurları gösteren kısıtlamanın doğasını tanımlar.</w:t>
      </w:r>
    </w:p>
    <w:p w:rsidR="00E361AE" w:rsidRPr="00E361AE" w:rsidRDefault="00E361AE" w:rsidP="00381D95">
      <w:pPr>
        <w:shd w:val="clear" w:color="auto" w:fill="FFFFFF"/>
        <w:spacing w:after="150" w:line="300" w:lineRule="atLeast"/>
        <w:ind w:left="375" w:hanging="360"/>
        <w:jc w:val="both"/>
        <w:rPr>
          <w:rFonts w:ascii="Helvetica" w:eastAsia="Times New Roman" w:hAnsi="Helvetica" w:cs="Helvetica"/>
          <w:color w:val="333333"/>
          <w:sz w:val="21"/>
          <w:szCs w:val="21"/>
          <w:lang w:eastAsia="tr-TR"/>
        </w:rPr>
      </w:pPr>
      <w:r w:rsidRPr="00E361AE">
        <w:rPr>
          <w:rFonts w:ascii="Trebuchet MS" w:eastAsia="Times New Roman" w:hAnsi="Trebuchet MS" w:cs="Helvetica"/>
          <w:color w:val="333333"/>
          <w:sz w:val="20"/>
          <w:szCs w:val="20"/>
          <w:lang w:eastAsia="tr-TR"/>
        </w:rPr>
        <w:t>Bazı durumlarda Üyeler, sürdürdükleri kısıtlamalardan daha çok ne önerdiklerini açıklayarak kısıtlı taahhüt belirtme yolunu seçmektedir. Böyle bir yaklaşım, çoğunlukla belirli kategorilerde hizmet sunan yabancı gerçek kişilerin girişi için pazara erişim fırsatlarını göstermede kullanılır.</w:t>
      </w:r>
    </w:p>
    <w:p w:rsidR="00E361AE" w:rsidRPr="00E361AE" w:rsidRDefault="00E361AE" w:rsidP="00381D95">
      <w:pPr>
        <w:shd w:val="clear" w:color="auto" w:fill="FFFFFF"/>
        <w:spacing w:after="150" w:line="300" w:lineRule="atLeast"/>
        <w:ind w:left="375" w:hanging="360"/>
        <w:jc w:val="both"/>
        <w:rPr>
          <w:rFonts w:ascii="Helvetica" w:eastAsia="Times New Roman" w:hAnsi="Helvetica" w:cs="Helvetica"/>
          <w:color w:val="333333"/>
          <w:sz w:val="21"/>
          <w:szCs w:val="21"/>
          <w:lang w:eastAsia="tr-TR"/>
        </w:rPr>
      </w:pPr>
      <w:r w:rsidRPr="00E361AE">
        <w:rPr>
          <w:rFonts w:ascii="Trebuchet MS" w:eastAsia="Times New Roman" w:hAnsi="Trebuchet MS" w:cs="Helvetica"/>
          <w:color w:val="333333"/>
          <w:sz w:val="20"/>
          <w:szCs w:val="20"/>
          <w:lang w:eastAsia="tr-TR"/>
        </w:rPr>
        <w:t xml:space="preserve">Taahhüt listeleri, bir üyenin belirli bir sektörde vermeye hazırlandığı her ilave taahhüdün </w:t>
      </w:r>
      <w:proofErr w:type="spellStart"/>
      <w:r w:rsidRPr="00E361AE">
        <w:rPr>
          <w:rFonts w:ascii="Trebuchet MS" w:eastAsia="Times New Roman" w:hAnsi="Trebuchet MS" w:cs="Helvetica"/>
          <w:color w:val="333333"/>
          <w:sz w:val="20"/>
          <w:szCs w:val="20"/>
          <w:lang w:eastAsia="tr-TR"/>
        </w:rPr>
        <w:t>yanısıra</w:t>
      </w:r>
      <w:proofErr w:type="spellEnd"/>
      <w:r w:rsidRPr="00E361AE">
        <w:rPr>
          <w:rFonts w:ascii="Trebuchet MS" w:eastAsia="Times New Roman" w:hAnsi="Trebuchet MS" w:cs="Helvetica"/>
          <w:color w:val="333333"/>
          <w:sz w:val="20"/>
          <w:szCs w:val="20"/>
          <w:lang w:eastAsia="tr-TR"/>
        </w:rPr>
        <w:t>, pazara erişimin (örneğin, hizmet sunucularının sayısında kısıtlamalar olsa da olmasa da) ve milli muamelenin (örneğin, yerel şirketlere verilen bazı ayrıcalıkların yabancı şirketlere de verilip verilmemesi) seviyelerini açıkça belirtir. Bu yüzden, örneğin, bir hükümet yabancı bankaların kendi iç piyasasında işlemesine izin verirse, bu bir pazara erişim taahhüdü olur. Eğer bir hükümet vereceği lisansların sayısını kısıtlı tutarsa, bu da pazara erişim kısıtlaması olur. Eğer bir hükümet yabancı bankaların minimum sermayesinin yerli bankalardan daha fazla olması şartını koşarsa, bu da milli muamele kısıtlaması olur.</w:t>
      </w:r>
    </w:p>
    <w:p w:rsidR="00E361AE" w:rsidRPr="00E361AE" w:rsidRDefault="00E361AE" w:rsidP="00381D95">
      <w:pPr>
        <w:shd w:val="clear" w:color="auto" w:fill="FFFFFF"/>
        <w:spacing w:after="150" w:line="300" w:lineRule="atLeast"/>
        <w:jc w:val="both"/>
        <w:rPr>
          <w:rFonts w:ascii="Helvetica" w:eastAsia="Times New Roman" w:hAnsi="Helvetica" w:cs="Helvetica"/>
          <w:color w:val="333333"/>
          <w:sz w:val="21"/>
          <w:szCs w:val="21"/>
          <w:lang w:eastAsia="tr-TR"/>
        </w:rPr>
      </w:pPr>
      <w:r w:rsidRPr="00E361AE">
        <w:rPr>
          <w:rFonts w:ascii="Helvetica" w:eastAsia="Times New Roman" w:hAnsi="Helvetica" w:cs="Helvetica"/>
          <w:color w:val="333333"/>
          <w:sz w:val="21"/>
          <w:szCs w:val="21"/>
          <w:lang w:eastAsia="tr-TR"/>
        </w:rPr>
        <w:t> </w:t>
      </w:r>
    </w:p>
    <w:p w:rsidR="00E361AE" w:rsidRPr="00E361AE" w:rsidRDefault="00E361AE" w:rsidP="00381D95">
      <w:pPr>
        <w:shd w:val="clear" w:color="auto" w:fill="FFFFFF"/>
        <w:spacing w:after="150" w:line="300" w:lineRule="atLeast"/>
        <w:jc w:val="both"/>
        <w:rPr>
          <w:rFonts w:ascii="Helvetica" w:eastAsia="Times New Roman" w:hAnsi="Helvetica" w:cs="Helvetica"/>
          <w:color w:val="333333"/>
          <w:sz w:val="21"/>
          <w:szCs w:val="21"/>
          <w:lang w:eastAsia="tr-TR"/>
        </w:rPr>
      </w:pPr>
      <w:r w:rsidRPr="00E361AE">
        <w:rPr>
          <w:rFonts w:ascii="Trebuchet MS" w:eastAsia="Times New Roman" w:hAnsi="Trebuchet MS" w:cs="Helvetica"/>
          <w:b/>
          <w:bCs/>
          <w:color w:val="800000"/>
          <w:sz w:val="21"/>
          <w:szCs w:val="21"/>
          <w:lang w:eastAsia="tr-TR"/>
        </w:rPr>
        <w:lastRenderedPageBreak/>
        <w:t>B. Madde II İstisnaları Listeleri</w:t>
      </w:r>
      <w:r w:rsidRPr="00E361AE">
        <w:rPr>
          <w:rFonts w:ascii="Trebuchet MS" w:eastAsia="Times New Roman" w:hAnsi="Trebuchet MS" w:cs="Helvetica"/>
          <w:color w:val="800000"/>
          <w:sz w:val="21"/>
          <w:szCs w:val="21"/>
          <w:lang w:eastAsia="tr-TR"/>
        </w:rPr>
        <w:t>  </w:t>
      </w:r>
      <w:hyperlink r:id="rId5" w:history="1">
        <w:r w:rsidRPr="00E361AE">
          <w:rPr>
            <w:rFonts w:ascii="Trebuchet MS" w:eastAsia="Times New Roman" w:hAnsi="Trebuchet MS" w:cs="Helvetica"/>
            <w:color w:val="0088CC"/>
            <w:sz w:val="15"/>
            <w:szCs w:val="15"/>
            <w:lang w:eastAsia="tr-TR"/>
          </w:rPr>
          <w:t>Başa dön</w:t>
        </w:r>
      </w:hyperlink>
    </w:p>
    <w:p w:rsidR="00E361AE" w:rsidRPr="00E361AE" w:rsidRDefault="00E361AE" w:rsidP="00381D95">
      <w:pPr>
        <w:shd w:val="clear" w:color="auto" w:fill="FFFFFF"/>
        <w:spacing w:after="150" w:line="300" w:lineRule="atLeast"/>
        <w:jc w:val="both"/>
        <w:rPr>
          <w:rFonts w:ascii="Helvetica" w:eastAsia="Times New Roman" w:hAnsi="Helvetica" w:cs="Helvetica"/>
          <w:color w:val="333333"/>
          <w:sz w:val="21"/>
          <w:szCs w:val="21"/>
          <w:lang w:eastAsia="tr-TR"/>
        </w:rPr>
      </w:pPr>
      <w:r w:rsidRPr="00E361AE">
        <w:rPr>
          <w:rFonts w:ascii="Trebuchet MS" w:eastAsia="Times New Roman" w:hAnsi="Trebuchet MS" w:cs="Helvetica"/>
          <w:color w:val="333333"/>
          <w:sz w:val="20"/>
          <w:szCs w:val="20"/>
          <w:lang w:eastAsia="tr-TR"/>
        </w:rPr>
        <w:t>“En çok kayrılan ülke” (</w:t>
      </w:r>
      <w:proofErr w:type="spellStart"/>
      <w:r w:rsidRPr="00E361AE">
        <w:rPr>
          <w:rFonts w:ascii="Trebuchet MS" w:eastAsia="Times New Roman" w:hAnsi="Trebuchet MS" w:cs="Helvetica"/>
          <w:color w:val="333333"/>
          <w:sz w:val="20"/>
          <w:szCs w:val="20"/>
          <w:lang w:eastAsia="tr-TR"/>
        </w:rPr>
        <w:t>Most-favoured-nation</w:t>
      </w:r>
      <w:proofErr w:type="spellEnd"/>
      <w:r w:rsidRPr="00E361AE">
        <w:rPr>
          <w:rFonts w:ascii="Trebuchet MS" w:eastAsia="Times New Roman" w:hAnsi="Trebuchet MS" w:cs="Helvetica"/>
          <w:color w:val="333333"/>
          <w:sz w:val="20"/>
          <w:szCs w:val="20"/>
          <w:lang w:eastAsia="tr-TR"/>
        </w:rPr>
        <w:t xml:space="preserve"> - MFN) kuralı hizmet ticaretini etkileyen bütün önlemlere uygulanan genel bir yükümlülüktür. Ancak, MFN yükümlülüğüne uyumsuz olan belli önlemlerin –10 yıldan daha fazla olmamak ve 5 yıldan daha fazla süre geçmeden gözden geçirilmeye tabii tutulmak ilkeleriyle- sürdürülebilmesi kabul edilmiştir. Ülkeler arasında tercihli muamele yapabilmeyi sağlayan ve istisna alınmasını gerektiren devlet önlemlerinin en geç Uruguay Müzakere Turu sonunda ya da turun bitiminden sonra başlayan ve belli sektörler için yapılan uzatılmış müzakerelerin sonucu olarak MFN istisnaları listelerine eklenmiş olması gerekirdi. Daha sonra, Madde II (MFN) için istekler sadece </w:t>
      </w:r>
      <w:proofErr w:type="spellStart"/>
      <w:r w:rsidRPr="00E361AE">
        <w:rPr>
          <w:rFonts w:ascii="Trebuchet MS" w:eastAsia="Times New Roman" w:hAnsi="Trebuchet MS" w:cs="Helvetica"/>
          <w:color w:val="333333"/>
          <w:sz w:val="20"/>
          <w:szCs w:val="20"/>
          <w:lang w:eastAsia="tr-TR"/>
        </w:rPr>
        <w:t>Marakeş</w:t>
      </w:r>
      <w:proofErr w:type="spellEnd"/>
      <w:r w:rsidRPr="00E361AE">
        <w:rPr>
          <w:rFonts w:ascii="Trebuchet MS" w:eastAsia="Times New Roman" w:hAnsi="Trebuchet MS" w:cs="Helvetica"/>
          <w:color w:val="333333"/>
          <w:sz w:val="20"/>
          <w:szCs w:val="20"/>
          <w:lang w:eastAsia="tr-TR"/>
        </w:rPr>
        <w:t xml:space="preserve"> Anlaşması’nın feragat </w:t>
      </w:r>
      <w:proofErr w:type="gramStart"/>
      <w:r w:rsidRPr="00E361AE">
        <w:rPr>
          <w:rFonts w:ascii="Trebuchet MS" w:eastAsia="Times New Roman" w:hAnsi="Trebuchet MS" w:cs="Helvetica"/>
          <w:color w:val="333333"/>
          <w:sz w:val="20"/>
          <w:szCs w:val="20"/>
          <w:lang w:eastAsia="tr-TR"/>
        </w:rPr>
        <w:t>prosedürleri</w:t>
      </w:r>
      <w:proofErr w:type="gramEnd"/>
      <w:r w:rsidRPr="00E361AE">
        <w:rPr>
          <w:rFonts w:ascii="Trebuchet MS" w:eastAsia="Times New Roman" w:hAnsi="Trebuchet MS" w:cs="Helvetica"/>
          <w:color w:val="333333"/>
          <w:sz w:val="20"/>
          <w:szCs w:val="20"/>
          <w:lang w:eastAsia="tr-TR"/>
        </w:rPr>
        <w:t xml:space="preserve"> altında verilebilir.</w:t>
      </w:r>
    </w:p>
    <w:p w:rsidR="00E361AE" w:rsidRPr="00E361AE" w:rsidRDefault="00E361AE" w:rsidP="00381D95">
      <w:pPr>
        <w:shd w:val="clear" w:color="auto" w:fill="FFFFFF"/>
        <w:spacing w:after="150" w:line="300" w:lineRule="atLeast"/>
        <w:jc w:val="both"/>
        <w:rPr>
          <w:rFonts w:ascii="Helvetica" w:eastAsia="Times New Roman" w:hAnsi="Helvetica" w:cs="Helvetica"/>
          <w:color w:val="333333"/>
          <w:sz w:val="21"/>
          <w:szCs w:val="21"/>
          <w:lang w:eastAsia="tr-TR"/>
        </w:rPr>
      </w:pPr>
      <w:r w:rsidRPr="00E361AE">
        <w:rPr>
          <w:rFonts w:ascii="Trebuchet MS" w:eastAsia="Times New Roman" w:hAnsi="Trebuchet MS" w:cs="Helvetica"/>
          <w:color w:val="333333"/>
          <w:sz w:val="20"/>
          <w:szCs w:val="20"/>
          <w:lang w:eastAsia="tr-TR"/>
        </w:rPr>
        <w:t>Taahhüt listelerinin karmaşık doğasının aksine, bu listeler büyük ölçüde kendini açıklayıcıdır ve açık sözlü bir usul içinde yapılandırılmıştır. Bir ülkenin MFN istisnalarının eksiksiz ve açık listelenmesini sağlamak için her ülkenin her bir istisna için beş çeşit bilgiyi sağlaması gerekir. Bunlar:</w:t>
      </w:r>
    </w:p>
    <w:p w:rsidR="00E361AE" w:rsidRPr="00E361AE" w:rsidRDefault="00E361AE" w:rsidP="00381D95">
      <w:pPr>
        <w:shd w:val="clear" w:color="auto" w:fill="FFFFFF"/>
        <w:spacing w:after="0" w:line="300" w:lineRule="atLeast"/>
        <w:jc w:val="both"/>
        <w:rPr>
          <w:rFonts w:ascii="Helvetica" w:eastAsia="Times New Roman" w:hAnsi="Helvetica" w:cs="Helvetica"/>
          <w:color w:val="333333"/>
          <w:sz w:val="21"/>
          <w:szCs w:val="21"/>
          <w:lang w:eastAsia="tr-TR"/>
        </w:rPr>
      </w:pPr>
      <w:r w:rsidRPr="00E361AE">
        <w:rPr>
          <w:rFonts w:ascii="Trebuchet MS" w:eastAsia="Times New Roman" w:hAnsi="Trebuchet MS" w:cs="Helvetica"/>
          <w:color w:val="333333"/>
          <w:sz w:val="20"/>
          <w:szCs w:val="20"/>
          <w:lang w:eastAsia="tr-TR"/>
        </w:rPr>
        <w:t>(i) İstisnanın uygulandığı sektör veya sektörlerin tanımı;</w:t>
      </w:r>
    </w:p>
    <w:p w:rsidR="00E361AE" w:rsidRPr="00E361AE" w:rsidRDefault="00E361AE" w:rsidP="00381D95">
      <w:pPr>
        <w:shd w:val="clear" w:color="auto" w:fill="FFFFFF"/>
        <w:spacing w:after="0" w:line="300" w:lineRule="atLeast"/>
        <w:jc w:val="both"/>
        <w:rPr>
          <w:rFonts w:ascii="Helvetica" w:eastAsia="Times New Roman" w:hAnsi="Helvetica" w:cs="Helvetica"/>
          <w:color w:val="333333"/>
          <w:sz w:val="21"/>
          <w:szCs w:val="21"/>
          <w:lang w:eastAsia="tr-TR"/>
        </w:rPr>
      </w:pPr>
      <w:r w:rsidRPr="00E361AE">
        <w:rPr>
          <w:rFonts w:ascii="Trebuchet MS" w:eastAsia="Times New Roman" w:hAnsi="Trebuchet MS" w:cs="Helvetica"/>
          <w:color w:val="333333"/>
          <w:sz w:val="20"/>
          <w:szCs w:val="20"/>
          <w:lang w:eastAsia="tr-TR"/>
        </w:rPr>
        <w:t>(ii) Madde II ile niçin uyumsuzluğun bulunduğunu gösteren önlemin tanımı;</w:t>
      </w:r>
    </w:p>
    <w:p w:rsidR="00E361AE" w:rsidRPr="00E361AE" w:rsidRDefault="00E361AE" w:rsidP="00381D95">
      <w:pPr>
        <w:shd w:val="clear" w:color="auto" w:fill="FFFFFF"/>
        <w:spacing w:after="0" w:line="300" w:lineRule="atLeast"/>
        <w:jc w:val="both"/>
        <w:rPr>
          <w:rFonts w:ascii="Helvetica" w:eastAsia="Times New Roman" w:hAnsi="Helvetica" w:cs="Helvetica"/>
          <w:color w:val="333333"/>
          <w:sz w:val="21"/>
          <w:szCs w:val="21"/>
          <w:lang w:eastAsia="tr-TR"/>
        </w:rPr>
      </w:pPr>
      <w:r w:rsidRPr="00E361AE">
        <w:rPr>
          <w:rFonts w:ascii="Trebuchet MS" w:eastAsia="Times New Roman" w:hAnsi="Trebuchet MS" w:cs="Helvetica"/>
          <w:color w:val="333333"/>
          <w:sz w:val="20"/>
          <w:szCs w:val="20"/>
          <w:lang w:eastAsia="tr-TR"/>
        </w:rPr>
        <w:t>(iii) Önlemin uygulandığı ülke veya ülkeler;</w:t>
      </w:r>
    </w:p>
    <w:p w:rsidR="00E361AE" w:rsidRPr="00E361AE" w:rsidRDefault="00E361AE" w:rsidP="00381D95">
      <w:pPr>
        <w:shd w:val="clear" w:color="auto" w:fill="FFFFFF"/>
        <w:spacing w:after="0" w:line="300" w:lineRule="atLeast"/>
        <w:jc w:val="both"/>
        <w:rPr>
          <w:rFonts w:ascii="Helvetica" w:eastAsia="Times New Roman" w:hAnsi="Helvetica" w:cs="Helvetica"/>
          <w:color w:val="333333"/>
          <w:sz w:val="21"/>
          <w:szCs w:val="21"/>
          <w:lang w:eastAsia="tr-TR"/>
        </w:rPr>
      </w:pPr>
      <w:r w:rsidRPr="00E361AE">
        <w:rPr>
          <w:rFonts w:ascii="Trebuchet MS" w:eastAsia="Times New Roman" w:hAnsi="Trebuchet MS" w:cs="Helvetica"/>
          <w:color w:val="333333"/>
          <w:sz w:val="20"/>
          <w:szCs w:val="20"/>
          <w:lang w:eastAsia="tr-TR"/>
        </w:rPr>
        <w:t>(iv) İstisnanın tasarlanan süresi;</w:t>
      </w:r>
    </w:p>
    <w:p w:rsidR="00E361AE" w:rsidRPr="00E361AE" w:rsidRDefault="00E361AE" w:rsidP="00381D95">
      <w:pPr>
        <w:shd w:val="clear" w:color="auto" w:fill="FFFFFF"/>
        <w:spacing w:after="0" w:line="300" w:lineRule="atLeast"/>
        <w:jc w:val="both"/>
        <w:rPr>
          <w:rFonts w:ascii="Helvetica" w:eastAsia="Times New Roman" w:hAnsi="Helvetica" w:cs="Helvetica"/>
          <w:color w:val="333333"/>
          <w:sz w:val="21"/>
          <w:szCs w:val="21"/>
          <w:lang w:eastAsia="tr-TR"/>
        </w:rPr>
      </w:pPr>
      <w:r w:rsidRPr="00E361AE">
        <w:rPr>
          <w:rFonts w:ascii="Trebuchet MS" w:eastAsia="Times New Roman" w:hAnsi="Trebuchet MS" w:cs="Helvetica"/>
          <w:color w:val="333333"/>
          <w:sz w:val="20"/>
          <w:szCs w:val="20"/>
          <w:lang w:eastAsia="tr-TR"/>
        </w:rPr>
        <w:t>(v) İstisnanın gerekliliğini doğuran koşullar.</w:t>
      </w:r>
    </w:p>
    <w:p w:rsidR="00E361AE" w:rsidRPr="00E361AE" w:rsidRDefault="00E361AE" w:rsidP="00381D95">
      <w:pPr>
        <w:shd w:val="clear" w:color="auto" w:fill="FFFFFF"/>
        <w:spacing w:after="150" w:line="300" w:lineRule="atLeast"/>
        <w:jc w:val="both"/>
        <w:rPr>
          <w:rFonts w:ascii="Helvetica" w:eastAsia="Times New Roman" w:hAnsi="Helvetica" w:cs="Helvetica"/>
          <w:color w:val="333333"/>
          <w:sz w:val="21"/>
          <w:szCs w:val="21"/>
          <w:lang w:eastAsia="tr-TR"/>
        </w:rPr>
      </w:pPr>
      <w:r w:rsidRPr="00E361AE">
        <w:rPr>
          <w:rFonts w:ascii="Trebuchet MS" w:eastAsia="Times New Roman" w:hAnsi="Trebuchet MS" w:cs="Helvetica"/>
          <w:color w:val="333333"/>
          <w:sz w:val="20"/>
          <w:szCs w:val="20"/>
          <w:lang w:eastAsia="tr-TR"/>
        </w:rPr>
        <w:t> </w:t>
      </w:r>
    </w:p>
    <w:p w:rsidR="00E361AE" w:rsidRPr="00E361AE" w:rsidRDefault="00E361AE" w:rsidP="00381D95">
      <w:pPr>
        <w:shd w:val="clear" w:color="auto" w:fill="FFFFFF"/>
        <w:spacing w:after="150" w:line="300" w:lineRule="atLeast"/>
        <w:jc w:val="both"/>
        <w:rPr>
          <w:rFonts w:ascii="Helvetica" w:eastAsia="Times New Roman" w:hAnsi="Helvetica" w:cs="Helvetica"/>
          <w:color w:val="333333"/>
          <w:sz w:val="21"/>
          <w:szCs w:val="21"/>
          <w:lang w:eastAsia="tr-TR"/>
        </w:rPr>
      </w:pPr>
      <w:r w:rsidRPr="00E361AE">
        <w:rPr>
          <w:rFonts w:ascii="Trebuchet MS" w:eastAsia="Times New Roman" w:hAnsi="Trebuchet MS" w:cs="Helvetica"/>
          <w:color w:val="333333"/>
          <w:sz w:val="20"/>
          <w:szCs w:val="20"/>
          <w:lang w:eastAsia="tr-TR"/>
        </w:rPr>
        <w:t xml:space="preserve">Taahhütlerin MFN temelinde uygulanması, Anlaşmanın temel bir ilkesidir. Taahhüt altına girildiği yerde, bu yüzden, MFN istisnasının diğer tüm Üyelerden çok yalnızca uygulanmakta olduğu bir ülkeye daha elverişli muamele olanağının verilmesinde etkisi olabilir. Fakat hiçbir taahhüdün olmadığı yerde, MFN istisnası daha elverişsiz muamele olanağının verilmesine olanak tanıyabilir. -Serbest Ticaret Alanları gibi- Ekonomik bütünleşme anlaşmaları Üyeleri arasında ticareti tercihli serbestleştirmeyi sağlayan önlemleri listelemek gerekli değildir; bu gibi tercihli muamelelere GATS Madde </w:t>
      </w:r>
      <w:proofErr w:type="spellStart"/>
      <w:r w:rsidRPr="00E361AE">
        <w:rPr>
          <w:rFonts w:ascii="Trebuchet MS" w:eastAsia="Times New Roman" w:hAnsi="Trebuchet MS" w:cs="Helvetica"/>
          <w:color w:val="333333"/>
          <w:sz w:val="20"/>
          <w:szCs w:val="20"/>
          <w:lang w:eastAsia="tr-TR"/>
        </w:rPr>
        <w:t>V’in</w:t>
      </w:r>
      <w:proofErr w:type="spellEnd"/>
      <w:r w:rsidRPr="00E361AE">
        <w:rPr>
          <w:rFonts w:ascii="Trebuchet MS" w:eastAsia="Times New Roman" w:hAnsi="Trebuchet MS" w:cs="Helvetica"/>
          <w:color w:val="333333"/>
          <w:sz w:val="20"/>
          <w:szCs w:val="20"/>
          <w:lang w:eastAsia="tr-TR"/>
        </w:rPr>
        <w:t xml:space="preserve"> altında olanak tanınmış olup söz konusu </w:t>
      </w:r>
      <w:proofErr w:type="spellStart"/>
      <w:r w:rsidRPr="00E361AE">
        <w:rPr>
          <w:rFonts w:ascii="Trebuchet MS" w:eastAsia="Times New Roman" w:hAnsi="Trebuchet MS" w:cs="Helvetica"/>
          <w:color w:val="333333"/>
          <w:sz w:val="20"/>
          <w:szCs w:val="20"/>
          <w:lang w:eastAsia="tr-TR"/>
        </w:rPr>
        <w:t>Madde’de</w:t>
      </w:r>
      <w:proofErr w:type="spellEnd"/>
      <w:r w:rsidRPr="00E361AE">
        <w:rPr>
          <w:rFonts w:ascii="Trebuchet MS" w:eastAsia="Times New Roman" w:hAnsi="Trebuchet MS" w:cs="Helvetica"/>
          <w:color w:val="333333"/>
          <w:sz w:val="20"/>
          <w:szCs w:val="20"/>
          <w:lang w:eastAsia="tr-TR"/>
        </w:rPr>
        <w:t xml:space="preserve"> belirtilen </w:t>
      </w:r>
      <w:proofErr w:type="gramStart"/>
      <w:r w:rsidRPr="00E361AE">
        <w:rPr>
          <w:rFonts w:ascii="Trebuchet MS" w:eastAsia="Times New Roman" w:hAnsi="Trebuchet MS" w:cs="Helvetica"/>
          <w:color w:val="333333"/>
          <w:sz w:val="20"/>
          <w:szCs w:val="20"/>
          <w:lang w:eastAsia="tr-TR"/>
        </w:rPr>
        <w:t>kriterleri</w:t>
      </w:r>
      <w:proofErr w:type="gramEnd"/>
      <w:r w:rsidRPr="00E361AE">
        <w:rPr>
          <w:rFonts w:ascii="Trebuchet MS" w:eastAsia="Times New Roman" w:hAnsi="Trebuchet MS" w:cs="Helvetica"/>
          <w:color w:val="333333"/>
          <w:sz w:val="20"/>
          <w:szCs w:val="20"/>
          <w:lang w:eastAsia="tr-TR"/>
        </w:rPr>
        <w:t xml:space="preserve"> karşılaması gerekmektedir. </w:t>
      </w:r>
    </w:p>
    <w:p w:rsidR="00C061CB" w:rsidRDefault="00C061CB" w:rsidP="00381D95">
      <w:pPr>
        <w:jc w:val="both"/>
      </w:pPr>
    </w:p>
    <w:sectPr w:rsidR="00C061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625"/>
    <w:rsid w:val="00381D95"/>
    <w:rsid w:val="00481881"/>
    <w:rsid w:val="00BD4625"/>
    <w:rsid w:val="00C061CB"/>
    <w:rsid w:val="00E361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E361AE"/>
    <w:pPr>
      <w:spacing w:before="150" w:after="150" w:line="600" w:lineRule="atLeast"/>
      <w:outlineLvl w:val="0"/>
    </w:pPr>
    <w:rPr>
      <w:rFonts w:ascii="inherit" w:eastAsia="Times New Roman" w:hAnsi="inherit" w:cs="Times New Roman"/>
      <w:b/>
      <w:bCs/>
      <w:kern w:val="36"/>
      <w:sz w:val="58"/>
      <w:szCs w:val="5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361AE"/>
    <w:rPr>
      <w:rFonts w:ascii="inherit" w:eastAsia="Times New Roman" w:hAnsi="inherit" w:cs="Times New Roman"/>
      <w:b/>
      <w:bCs/>
      <w:kern w:val="36"/>
      <w:sz w:val="58"/>
      <w:szCs w:val="58"/>
      <w:lang w:eastAsia="tr-TR"/>
    </w:rPr>
  </w:style>
  <w:style w:type="character" w:styleId="Kpr">
    <w:name w:val="Hyperlink"/>
    <w:basedOn w:val="VarsaylanParagrafYazTipi"/>
    <w:uiPriority w:val="99"/>
    <w:semiHidden/>
    <w:unhideWhenUsed/>
    <w:rsid w:val="00E361AE"/>
    <w:rPr>
      <w:strike w:val="0"/>
      <w:dstrike w:val="0"/>
      <w:color w:val="0088CC"/>
      <w:u w:val="none"/>
      <w:effect w:val="none"/>
    </w:rPr>
  </w:style>
  <w:style w:type="character" w:styleId="Gl">
    <w:name w:val="Strong"/>
    <w:basedOn w:val="VarsaylanParagrafYazTipi"/>
    <w:uiPriority w:val="22"/>
    <w:qFormat/>
    <w:rsid w:val="00E361AE"/>
    <w:rPr>
      <w:b/>
      <w:bCs/>
    </w:rPr>
  </w:style>
  <w:style w:type="paragraph" w:styleId="NormalWeb">
    <w:name w:val="Normal (Web)"/>
    <w:basedOn w:val="Normal"/>
    <w:uiPriority w:val="99"/>
    <w:semiHidden/>
    <w:unhideWhenUsed/>
    <w:rsid w:val="00E361AE"/>
    <w:pPr>
      <w:spacing w:after="150"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E361AE"/>
    <w:pPr>
      <w:spacing w:before="150" w:after="150" w:line="600" w:lineRule="atLeast"/>
      <w:outlineLvl w:val="0"/>
    </w:pPr>
    <w:rPr>
      <w:rFonts w:ascii="inherit" w:eastAsia="Times New Roman" w:hAnsi="inherit" w:cs="Times New Roman"/>
      <w:b/>
      <w:bCs/>
      <w:kern w:val="36"/>
      <w:sz w:val="58"/>
      <w:szCs w:val="5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361AE"/>
    <w:rPr>
      <w:rFonts w:ascii="inherit" w:eastAsia="Times New Roman" w:hAnsi="inherit" w:cs="Times New Roman"/>
      <w:b/>
      <w:bCs/>
      <w:kern w:val="36"/>
      <w:sz w:val="58"/>
      <w:szCs w:val="58"/>
      <w:lang w:eastAsia="tr-TR"/>
    </w:rPr>
  </w:style>
  <w:style w:type="character" w:styleId="Kpr">
    <w:name w:val="Hyperlink"/>
    <w:basedOn w:val="VarsaylanParagrafYazTipi"/>
    <w:uiPriority w:val="99"/>
    <w:semiHidden/>
    <w:unhideWhenUsed/>
    <w:rsid w:val="00E361AE"/>
    <w:rPr>
      <w:strike w:val="0"/>
      <w:dstrike w:val="0"/>
      <w:color w:val="0088CC"/>
      <w:u w:val="none"/>
      <w:effect w:val="none"/>
    </w:rPr>
  </w:style>
  <w:style w:type="character" w:styleId="Gl">
    <w:name w:val="Strong"/>
    <w:basedOn w:val="VarsaylanParagrafYazTipi"/>
    <w:uiPriority w:val="22"/>
    <w:qFormat/>
    <w:rsid w:val="00E361AE"/>
    <w:rPr>
      <w:b/>
      <w:bCs/>
    </w:rPr>
  </w:style>
  <w:style w:type="paragraph" w:styleId="NormalWeb">
    <w:name w:val="Normal (Web)"/>
    <w:basedOn w:val="Normal"/>
    <w:uiPriority w:val="99"/>
    <w:semiHidden/>
    <w:unhideWhenUsed/>
    <w:rsid w:val="00E361AE"/>
    <w:pPr>
      <w:spacing w:after="15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46572">
      <w:bodyDiv w:val="1"/>
      <w:marLeft w:val="0"/>
      <w:marRight w:val="0"/>
      <w:marTop w:val="0"/>
      <w:marBottom w:val="0"/>
      <w:divBdr>
        <w:top w:val="none" w:sz="0" w:space="0" w:color="auto"/>
        <w:left w:val="none" w:sz="0" w:space="0" w:color="auto"/>
        <w:bottom w:val="none" w:sz="0" w:space="0" w:color="auto"/>
        <w:right w:val="none" w:sz="0" w:space="0" w:color="auto"/>
      </w:divBdr>
      <w:divsChild>
        <w:div w:id="1753357070">
          <w:marLeft w:val="0"/>
          <w:marRight w:val="0"/>
          <w:marTop w:val="0"/>
          <w:marBottom w:val="0"/>
          <w:divBdr>
            <w:top w:val="single" w:sz="12" w:space="0" w:color="CCCCCC"/>
            <w:left w:val="single" w:sz="12" w:space="0" w:color="CCCCCC"/>
            <w:bottom w:val="single" w:sz="12" w:space="8" w:color="CCCCCC"/>
            <w:right w:val="single" w:sz="12" w:space="0" w:color="CCCCCC"/>
          </w:divBdr>
          <w:divsChild>
            <w:div w:id="766273129">
              <w:marLeft w:val="0"/>
              <w:marRight w:val="0"/>
              <w:marTop w:val="0"/>
              <w:marBottom w:val="0"/>
              <w:divBdr>
                <w:top w:val="none" w:sz="0" w:space="0" w:color="auto"/>
                <w:left w:val="none" w:sz="0" w:space="0" w:color="auto"/>
                <w:bottom w:val="none" w:sz="0" w:space="0" w:color="auto"/>
                <w:right w:val="none" w:sz="0" w:space="0" w:color="auto"/>
              </w:divBdr>
              <w:divsChild>
                <w:div w:id="1385368057">
                  <w:marLeft w:val="0"/>
                  <w:marRight w:val="0"/>
                  <w:marTop w:val="0"/>
                  <w:marBottom w:val="0"/>
                  <w:divBdr>
                    <w:top w:val="none" w:sz="0" w:space="0" w:color="auto"/>
                    <w:left w:val="none" w:sz="0" w:space="0" w:color="auto"/>
                    <w:bottom w:val="none" w:sz="0" w:space="0" w:color="auto"/>
                    <w:right w:val="none" w:sz="0" w:space="0" w:color="auto"/>
                  </w:divBdr>
                  <w:divsChild>
                    <w:div w:id="54895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ts-turkiye.gov.tr/detay.cfm?MID=27"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737</Words>
  <Characters>4203</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Çiğdem KOŞAN</dc:creator>
  <cp:keywords/>
  <dc:description/>
  <cp:lastModifiedBy>Çiğdem KOŞAN</cp:lastModifiedBy>
  <cp:revision>3</cp:revision>
  <dcterms:created xsi:type="dcterms:W3CDTF">2014-08-25T14:07:00Z</dcterms:created>
  <dcterms:modified xsi:type="dcterms:W3CDTF">2014-08-28T14:35:00Z</dcterms:modified>
</cp:coreProperties>
</file>